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66" w:rsidRPr="002C58BE" w:rsidRDefault="004D0566" w:rsidP="004D05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</w:t>
      </w:r>
      <w:proofErr w:type="gramStart"/>
      <w:r w:rsidRPr="002C5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У</w:t>
      </w:r>
      <w:proofErr w:type="gramEnd"/>
      <w:r w:rsidRPr="002C5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4D0566" w:rsidRPr="002C58BE" w:rsidRDefault="004D0566" w:rsidP="004D05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общем собрании трудового коллектива                   директор ГКОУ РД</w:t>
      </w:r>
    </w:p>
    <w:p w:rsidR="004D0566" w:rsidRPr="002C58BE" w:rsidRDefault="004D0566" w:rsidP="004D05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proofErr w:type="spellStart"/>
      <w:r w:rsidRPr="002C5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Мазадинская</w:t>
      </w:r>
      <w:proofErr w:type="spellEnd"/>
      <w:r w:rsidRPr="002C5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                                    «</w:t>
      </w:r>
      <w:proofErr w:type="spellStart"/>
      <w:r w:rsidRPr="002C5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Мазадинская</w:t>
      </w:r>
      <w:proofErr w:type="spellEnd"/>
      <w:r w:rsidRPr="002C5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4D0566" w:rsidRPr="002C58BE" w:rsidRDefault="004D0566" w:rsidP="004D05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____ от _____________ г.                            Т. Ш. </w:t>
      </w:r>
      <w:proofErr w:type="spellStart"/>
      <w:r w:rsidRPr="002C5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Магомеднабиев</w:t>
      </w:r>
      <w:proofErr w:type="spellEnd"/>
    </w:p>
    <w:p w:rsidR="004D0566" w:rsidRPr="002C58BE" w:rsidRDefault="004D0566" w:rsidP="004D05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Приказ № ____  от «____» _________ </w:t>
      </w:r>
      <w:proofErr w:type="gramStart"/>
      <w:r w:rsidRPr="002C5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2C5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D0566" w:rsidRPr="002C58BE" w:rsidRDefault="004D0566" w:rsidP="004D0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66" w:rsidRPr="002C58BE" w:rsidRDefault="004D0566" w:rsidP="004D0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66" w:rsidRPr="002C58BE" w:rsidRDefault="004D0566" w:rsidP="004D0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66" w:rsidRPr="002C58BE" w:rsidRDefault="004D0566" w:rsidP="004D0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66" w:rsidRPr="002C58BE" w:rsidRDefault="004D0566" w:rsidP="004D0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66" w:rsidRPr="002C58BE" w:rsidRDefault="004D0566" w:rsidP="004D0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66" w:rsidRPr="002C58BE" w:rsidRDefault="004D0566" w:rsidP="004D0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66" w:rsidRPr="002C58BE" w:rsidRDefault="004D0566" w:rsidP="004D0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66" w:rsidRPr="002C58BE" w:rsidRDefault="004D0566" w:rsidP="004D0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66" w:rsidRPr="002C58BE" w:rsidRDefault="004D0566" w:rsidP="004D0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66" w:rsidRPr="002C58BE" w:rsidRDefault="004D0566" w:rsidP="004D0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66" w:rsidRPr="002C58BE" w:rsidRDefault="004D0566" w:rsidP="004D0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566" w:rsidRPr="002C58BE" w:rsidRDefault="004D0566" w:rsidP="004D0566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NewRomanPS-BoldMT"/>
          <w:b/>
          <w:bCs/>
          <w:i/>
          <w:sz w:val="260"/>
          <w:szCs w:val="28"/>
          <w:lang w:eastAsia="ru-RU"/>
        </w:rPr>
      </w:pPr>
      <w:r w:rsidRPr="002C58BE">
        <w:rPr>
          <w:rFonts w:ascii="TimesNewRomanPS-BoldMT" w:eastAsia="Times New Roman" w:hAnsi="TimesNewRomanPS-BoldMT" w:cs="TimesNewRomanPS-BoldMT"/>
          <w:b/>
          <w:bCs/>
          <w:i/>
          <w:sz w:val="60"/>
          <w:szCs w:val="28"/>
          <w:lang w:eastAsia="ru-RU"/>
        </w:rPr>
        <w:t xml:space="preserve">ПОЛОЖЕНИЕ </w:t>
      </w:r>
    </w:p>
    <w:p w:rsidR="004D0566" w:rsidRPr="002C58BE" w:rsidRDefault="004D0566" w:rsidP="004D0566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</w:pPr>
      <w:r w:rsidRPr="002C58BE"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 xml:space="preserve">«О </w:t>
      </w:r>
      <w:r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ПРАВИЛАХ ДОСТУПА ПЕДАГОГОВ ИНФОРМАЦИОННО-КОММУНИКАТИВНЫМ СЕТЯМ И БАЗАМ ДАННЫХ, УЧЕБНЫМ И МЕТОДИЧЕСКИМ МАТЕРИАЛАМ, МАТЕРИАЛЬНО-ТЕХНИЧЕСКИМ СРЕДСТВАМ</w:t>
      </w:r>
      <w:r w:rsidRPr="002C58BE"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»</w:t>
      </w:r>
    </w:p>
    <w:p w:rsidR="004D0566" w:rsidRDefault="004D0566" w:rsidP="004D0566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</w:pPr>
      <w:r w:rsidRPr="002C58BE"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 xml:space="preserve">ГКОУ РД «МАЗАДИНСКАЯ СОШ </w:t>
      </w:r>
    </w:p>
    <w:p w:rsidR="004D0566" w:rsidRPr="002C58BE" w:rsidRDefault="004D0566" w:rsidP="004D0566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i/>
          <w:sz w:val="32"/>
          <w:szCs w:val="24"/>
          <w:lang w:eastAsia="ru-RU"/>
        </w:rPr>
      </w:pPr>
      <w:r w:rsidRPr="002C58BE"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ТЛЯРАТИНСКОГО РАЙОНА»</w:t>
      </w:r>
    </w:p>
    <w:p w:rsidR="004D0566" w:rsidRPr="002C58BE" w:rsidRDefault="004D0566" w:rsidP="004D0566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4D0566" w:rsidRPr="002C58BE" w:rsidRDefault="004D0566" w:rsidP="004D0566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4D0566" w:rsidRPr="002C58BE" w:rsidRDefault="004D0566" w:rsidP="004D0566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4D0566" w:rsidRPr="002C58BE" w:rsidRDefault="004D0566" w:rsidP="004D0566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333333"/>
          <w:sz w:val="18"/>
          <w:szCs w:val="18"/>
        </w:rPr>
      </w:pPr>
    </w:p>
    <w:p w:rsidR="004D0566" w:rsidRDefault="004D0566" w:rsidP="004D0566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rPr>
          <w:b/>
          <w:color w:val="333333"/>
        </w:rPr>
      </w:pPr>
      <w:r w:rsidRPr="004D0566">
        <w:rPr>
          <w:b/>
          <w:color w:val="333333"/>
        </w:rPr>
        <w:lastRenderedPageBreak/>
        <w:t>1. Общие положения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 xml:space="preserve">1. Настоящие правила бесплатного пользования педагогическими работниками информационными услугами, доступа к информационно-коммуникационным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 (далее </w:t>
      </w:r>
      <w:proofErr w:type="gramStart"/>
      <w:r w:rsidRPr="004D0566">
        <w:rPr>
          <w:color w:val="333333"/>
        </w:rPr>
        <w:t>–П</w:t>
      </w:r>
      <w:proofErr w:type="gramEnd"/>
      <w:r w:rsidRPr="004D0566">
        <w:rPr>
          <w:color w:val="333333"/>
        </w:rPr>
        <w:t>равила), разработаны в соответствии с пунктом7 ч.3 ст.47 Федерального закона п.19.34 от29.12.2012 № 273-ФЗ "Об образовании в Российской Федерации", Приложения к рекомендациям письма №ИР-170-17 с целью реализации права педагогических работников на бесплатное пользование библиотекой и информационными ресурсами, а также на доступ к информационно-коммуникационным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деятельности.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>2. Педагогические работники имеют право бесплатно пользоваться основными видами </w:t>
      </w:r>
      <w:r w:rsidRPr="004D0566">
        <w:rPr>
          <w:b/>
          <w:bCs/>
          <w:color w:val="333333"/>
        </w:rPr>
        <w:t>библиотечно-информационных услуг, предоставляемых библиотекой: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>-получать полную информацию о составе фондов библиотеки ;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 xml:space="preserve">-каталогов и картотек в традиционном и электронном </w:t>
      </w:r>
      <w:proofErr w:type="gramStart"/>
      <w:r w:rsidRPr="004D0566">
        <w:rPr>
          <w:color w:val="333333"/>
        </w:rPr>
        <w:t>вариантах</w:t>
      </w:r>
      <w:proofErr w:type="gramEnd"/>
      <w:r w:rsidRPr="004D0566">
        <w:rPr>
          <w:color w:val="333333"/>
        </w:rPr>
        <w:t>, а также через другие формы библиотечного информирования (информация о новых поступлениях книг и периодических изданий на сайте Учреждения);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>-получать из фонда библиотеки для временного пользования на абонементе любые издания, документы или их копии;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>-получать консультативную помощь в поиске и выборе источников информации;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b/>
          <w:bCs/>
          <w:color w:val="333333"/>
        </w:rPr>
        <w:t>3. Доступ к информационно-телекоммуникационным сетям и базам данных: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 xml:space="preserve">3.1 Доступ педагогических работников к информационно-телекоммуникационной сети Интернет осуществляется с персональных компьютеров (ноутбуков), подключенных к сети Интернет, в пределах установленного лимита на входящий трафик. </w:t>
      </w:r>
      <w:proofErr w:type="gramStart"/>
      <w:r w:rsidRPr="004D0566">
        <w:rPr>
          <w:color w:val="333333"/>
        </w:rPr>
        <w:t>Ответственным за предоставление возможности бесплатного доступа к информационным ресурсам является ответственный по ИКТ учреждения.</w:t>
      </w:r>
      <w:proofErr w:type="gramEnd"/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>3.2 Доступ педагогических работников к локальной сети Учреждения осуществляется с персональных компьютеров (ноутбуков), подключенных к локальной сети.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>3.3. Для доступа к информационно-телекоммуникационным сетям в Учреждении педагогическому работнику предоставляются идентификационные данные (логин и пароль / учётная запись / электронный ключ и др.).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>3.4. Педагогическим работникам обеспечивается доступ к следующим электронным базам данных: профессиональные базы данных, информационные справочные системы, поисковые системы.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b/>
          <w:bCs/>
          <w:color w:val="333333"/>
        </w:rPr>
        <w:t>4.Доступ к учебно-методическим материалам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 xml:space="preserve">4.1. Доступ к учебно-методическим материалам осуществляется бесплатно </w:t>
      </w:r>
      <w:proofErr w:type="gramStart"/>
      <w:r w:rsidRPr="004D0566">
        <w:rPr>
          <w:color w:val="333333"/>
        </w:rPr>
        <w:t>через</w:t>
      </w:r>
      <w:proofErr w:type="gramEnd"/>
      <w:r w:rsidRPr="004D0566">
        <w:rPr>
          <w:color w:val="333333"/>
        </w:rPr>
        <w:t>: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>- использование методических разработок, имеющихся в Учреждении;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>-</w:t>
      </w:r>
      <w:proofErr w:type="gramStart"/>
      <w:r w:rsidRPr="004D0566">
        <w:rPr>
          <w:color w:val="333333"/>
        </w:rPr>
        <w:t>методический анализ</w:t>
      </w:r>
      <w:proofErr w:type="gramEnd"/>
      <w:r w:rsidRPr="004D0566">
        <w:rPr>
          <w:color w:val="333333"/>
        </w:rPr>
        <w:t xml:space="preserve"> результативности образовательной деятельности по данным различных измерений качества образования;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>- помощь в разработке учебно-методической и иной документации, необходимой для осуществления профессиональной деятельности;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lastRenderedPageBreak/>
        <w:t>- помощь в освоении и разработке инновационных программ и технологий;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>-участие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>-получение методической помощи в осуществлении исследовательской деятельности.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>4.2.Для получения методической помощи педагогический работник может обратиться к директору, методисту, педагогу-организатору,</w:t>
      </w:r>
      <w:r w:rsidR="00170953">
        <w:rPr>
          <w:color w:val="333333"/>
        </w:rPr>
        <w:t xml:space="preserve"> </w:t>
      </w:r>
      <w:r w:rsidRPr="004D0566">
        <w:rPr>
          <w:color w:val="333333"/>
        </w:rPr>
        <w:t>руководителю МО.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 xml:space="preserve">4.3. Учебные и методические </w:t>
      </w:r>
      <w:proofErr w:type="gramStart"/>
      <w:r w:rsidRPr="004D0566">
        <w:rPr>
          <w:color w:val="333333"/>
        </w:rPr>
        <w:t>материалы</w:t>
      </w:r>
      <w:proofErr w:type="gramEnd"/>
      <w:r w:rsidRPr="004D0566">
        <w:rPr>
          <w:color w:val="333333"/>
        </w:rPr>
        <w:t xml:space="preserve"> размещаемые на официальном сайте Учреждения, находятся в открытом доступе.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>4.4.Педагогическим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>4.5.Выдача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>4.6.Срок,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>4.7.Выдача педагогическому работнику и сдача им учебных и методических материалов фиксируются в журнале выдачи.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 w:rsidRPr="004D0566">
        <w:rPr>
          <w:color w:val="333333"/>
        </w:rPr>
        <w:t>4.8.При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4D0566" w:rsidRPr="004D0566" w:rsidRDefault="00170953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>
        <w:rPr>
          <w:b/>
          <w:bCs/>
          <w:color w:val="333333"/>
        </w:rPr>
        <w:t>5</w:t>
      </w:r>
      <w:r w:rsidR="004D0566" w:rsidRPr="004D0566">
        <w:rPr>
          <w:b/>
          <w:bCs/>
          <w:color w:val="333333"/>
        </w:rPr>
        <w:t>.Доступ педагогических работников к материально-техническим средствам</w:t>
      </w:r>
    </w:p>
    <w:p w:rsidR="004D0566" w:rsidRPr="004D0566" w:rsidRDefault="00170953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>
        <w:rPr>
          <w:color w:val="333333"/>
        </w:rPr>
        <w:t>5</w:t>
      </w:r>
      <w:r w:rsidR="004D0566" w:rsidRPr="004D0566">
        <w:rPr>
          <w:color w:val="333333"/>
        </w:rPr>
        <w:t>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proofErr w:type="gramStart"/>
      <w:r w:rsidRPr="004D0566">
        <w:rPr>
          <w:color w:val="333333"/>
        </w:rPr>
        <w:t>– без ограничения - к учебным кабинетам, спортивному и тренажерным залам и иным помещениям и местам проведения занятий во время, определенное в расписании занятий, музейным фондам;</w:t>
      </w:r>
      <w:proofErr w:type="gramEnd"/>
    </w:p>
    <w:p w:rsidR="004D0566" w:rsidRPr="004D0566" w:rsidRDefault="004D0566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proofErr w:type="gramStart"/>
      <w:r w:rsidRPr="004D0566">
        <w:rPr>
          <w:color w:val="333333"/>
        </w:rPr>
        <w:t>– к учебным кабинетам, спортивному и тренажерным залам и иным помещениям и местам проведения занятий вне времени, определенного расписанием занятий, - по согласованию с работником, ответственным за данное помещение.</w:t>
      </w:r>
      <w:proofErr w:type="gramEnd"/>
    </w:p>
    <w:p w:rsidR="004D0566" w:rsidRPr="004D0566" w:rsidRDefault="00170953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>
        <w:rPr>
          <w:color w:val="333333"/>
        </w:rPr>
        <w:t>5</w:t>
      </w:r>
      <w:r w:rsidR="004D0566" w:rsidRPr="004D0566">
        <w:rPr>
          <w:color w:val="333333"/>
        </w:rPr>
        <w:t>.2.Использование движимых (переносных) материально-технических средст</w:t>
      </w:r>
      <w:proofErr w:type="gramStart"/>
      <w:r w:rsidR="004D0566" w:rsidRPr="004D0566">
        <w:rPr>
          <w:color w:val="333333"/>
        </w:rPr>
        <w:t>в(</w:t>
      </w:r>
      <w:proofErr w:type="gramEnd"/>
      <w:r w:rsidR="004D0566" w:rsidRPr="004D0566">
        <w:rPr>
          <w:color w:val="333333"/>
        </w:rPr>
        <w:t>проекторов, магнитофонов, экранов и т.д.).</w:t>
      </w:r>
    </w:p>
    <w:p w:rsidR="004D0566" w:rsidRPr="004D0566" w:rsidRDefault="00170953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>
        <w:rPr>
          <w:color w:val="333333"/>
        </w:rPr>
        <w:t>5</w:t>
      </w:r>
      <w:r w:rsidR="004D0566" w:rsidRPr="004D0566">
        <w:rPr>
          <w:color w:val="333333"/>
        </w:rPr>
        <w:t>.3. Для копирования или тиражирования учебных и методических материалов педагогические работники имеют право бесплатно пользоваться копировальным автоматом.</w:t>
      </w:r>
    </w:p>
    <w:p w:rsidR="004D0566" w:rsidRPr="004D0566" w:rsidRDefault="00170953" w:rsidP="004D0566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>
        <w:rPr>
          <w:color w:val="333333"/>
        </w:rPr>
        <w:t>5</w:t>
      </w:r>
      <w:r w:rsidR="004D0566" w:rsidRPr="004D0566">
        <w:rPr>
          <w:color w:val="333333"/>
        </w:rPr>
        <w:t>.4.Для распечатывания учебных и методических материалов педагогические работники имеют право бесплатно пользоваться принтером.</w:t>
      </w:r>
    </w:p>
    <w:p w:rsidR="00C154A4" w:rsidRPr="00170953" w:rsidRDefault="00170953" w:rsidP="00170953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</w:rPr>
      </w:pPr>
      <w:r>
        <w:rPr>
          <w:color w:val="333333"/>
        </w:rPr>
        <w:t>5</w:t>
      </w:r>
      <w:r w:rsidR="004D0566" w:rsidRPr="004D0566">
        <w:rPr>
          <w:color w:val="333333"/>
        </w:rPr>
        <w:t xml:space="preserve">.4.Накопители информации (CD-диски, </w:t>
      </w:r>
      <w:proofErr w:type="spellStart"/>
      <w:r w:rsidR="004D0566" w:rsidRPr="004D0566">
        <w:rPr>
          <w:color w:val="333333"/>
        </w:rPr>
        <w:t>флеш</w:t>
      </w:r>
      <w:proofErr w:type="spellEnd"/>
      <w:r w:rsidR="004D0566" w:rsidRPr="004D0566">
        <w:rPr>
          <w:color w:val="333333"/>
        </w:rPr>
        <w:t>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  <w:bookmarkStart w:id="0" w:name="_GoBack"/>
      <w:bookmarkEnd w:id="0"/>
    </w:p>
    <w:sectPr w:rsidR="00C154A4" w:rsidRPr="0017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66"/>
    <w:rsid w:val="00170953"/>
    <w:rsid w:val="0020228C"/>
    <w:rsid w:val="004D0566"/>
    <w:rsid w:val="00B0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2017-07-09T17:39:00Z</dcterms:created>
  <dcterms:modified xsi:type="dcterms:W3CDTF">2017-07-09T17:52:00Z</dcterms:modified>
</cp:coreProperties>
</file>